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30D" w:rsidRPr="00E46228" w:rsidRDefault="007A730D" w:rsidP="007A730D">
      <w:pPr>
        <w:spacing w:after="0" w:line="252" w:lineRule="auto"/>
        <w:jc w:val="center"/>
        <w:rPr>
          <w:rFonts w:ascii="Times New Roman" w:hAnsi="Times New Roman"/>
          <w:b/>
          <w:color w:val="000000" w:themeColor="text1"/>
          <w:sz w:val="28"/>
          <w:szCs w:val="28"/>
        </w:rPr>
      </w:pPr>
    </w:p>
    <w:p w:rsidR="007A730D" w:rsidRPr="00E46228" w:rsidRDefault="007A730D" w:rsidP="007A730D">
      <w:pPr>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THAM LUẬN</w:t>
      </w:r>
    </w:p>
    <w:p w:rsidR="007A730D" w:rsidRPr="00E46228" w:rsidRDefault="007A730D" w:rsidP="007A730D">
      <w:pPr>
        <w:spacing w:after="0" w:line="252" w:lineRule="auto"/>
        <w:jc w:val="center"/>
        <w:rPr>
          <w:rFonts w:ascii="Times New Roman" w:hAnsi="Times New Roman"/>
          <w:b/>
          <w:color w:val="000000" w:themeColor="text1"/>
          <w:sz w:val="28"/>
          <w:szCs w:val="28"/>
        </w:rPr>
      </w:pPr>
      <w:r w:rsidRPr="00E46228">
        <w:rPr>
          <w:rFonts w:ascii="Times New Roman" w:hAnsi="Times New Roman"/>
          <w:b/>
          <w:color w:val="000000" w:themeColor="text1"/>
          <w:sz w:val="28"/>
          <w:szCs w:val="28"/>
        </w:rPr>
        <w:t>THƯỜNG TRỰC HĐND THÀNH PHỐ HẢI PHÒNG</w:t>
      </w:r>
    </w:p>
    <w:p w:rsidR="007A730D" w:rsidRPr="00E46228" w:rsidRDefault="007A730D" w:rsidP="007A730D">
      <w:pPr>
        <w:spacing w:after="0" w:line="252" w:lineRule="auto"/>
        <w:jc w:val="center"/>
        <w:rPr>
          <w:rFonts w:ascii="Times New Roman" w:eastAsia="Times New Roman" w:hAnsi="Times New Roman"/>
          <w:b/>
          <w:color w:val="000000" w:themeColor="text1"/>
          <w:sz w:val="28"/>
          <w:szCs w:val="28"/>
        </w:rPr>
      </w:pPr>
      <w:r w:rsidRPr="00E46228">
        <w:rPr>
          <w:rFonts w:ascii="Times New Roman" w:eastAsia="Times New Roman" w:hAnsi="Times New Roman"/>
          <w:b/>
          <w:color w:val="000000" w:themeColor="text1"/>
          <w:sz w:val="28"/>
          <w:szCs w:val="28"/>
        </w:rPr>
        <w:t>Một số kết quả nổi bật trong hoạt động của H</w:t>
      </w:r>
      <w:r w:rsidRPr="00E46228">
        <w:rPr>
          <w:rFonts w:ascii="Times New Roman" w:eastAsia="Times New Roman" w:hAnsi="Times New Roman"/>
          <w:b/>
          <w:color w:val="000000" w:themeColor="text1"/>
          <w:sz w:val="28"/>
          <w:szCs w:val="28"/>
          <w:lang w:val="en-US"/>
        </w:rPr>
        <w:t xml:space="preserve">ĐND </w:t>
      </w:r>
      <w:r w:rsidRPr="00E46228">
        <w:rPr>
          <w:rFonts w:ascii="Times New Roman" w:eastAsia="Times New Roman" w:hAnsi="Times New Roman"/>
          <w:b/>
          <w:color w:val="000000" w:themeColor="text1"/>
          <w:sz w:val="28"/>
          <w:szCs w:val="28"/>
        </w:rPr>
        <w:t xml:space="preserve">thành phố Hải Phòng </w:t>
      </w:r>
    </w:p>
    <w:p w:rsidR="007A730D" w:rsidRPr="00E46228" w:rsidRDefault="007A730D" w:rsidP="007A730D">
      <w:pPr>
        <w:spacing w:after="0" w:line="252" w:lineRule="auto"/>
        <w:jc w:val="center"/>
        <w:rPr>
          <w:rFonts w:ascii="Times New Roman" w:hAnsi="Times New Roman"/>
          <w:b/>
          <w:color w:val="000000" w:themeColor="text1"/>
          <w:sz w:val="28"/>
          <w:szCs w:val="28"/>
        </w:rPr>
      </w:pPr>
      <w:r w:rsidRPr="00E46228">
        <w:rPr>
          <w:rFonts w:ascii="Times New Roman" w:eastAsia="Times New Roman" w:hAnsi="Times New Roman"/>
          <w:b/>
          <w:color w:val="000000" w:themeColor="text1"/>
          <w:sz w:val="28"/>
          <w:szCs w:val="28"/>
        </w:rPr>
        <w:t xml:space="preserve">sau 02 năm </w:t>
      </w:r>
      <w:r w:rsidRPr="00E46228">
        <w:rPr>
          <w:rFonts w:ascii="Times New Roman" w:hAnsi="Times New Roman"/>
          <w:b/>
          <w:color w:val="000000" w:themeColor="text1"/>
          <w:sz w:val="28"/>
          <w:szCs w:val="28"/>
        </w:rPr>
        <w:t xml:space="preserve">triển khai thực hiện Nghị quyết số 35/2021/QH15 của Quốc hội </w:t>
      </w:r>
    </w:p>
    <w:p w:rsidR="007A730D" w:rsidRPr="00E46228" w:rsidRDefault="007A730D" w:rsidP="007A730D">
      <w:pPr>
        <w:spacing w:after="0" w:line="252" w:lineRule="auto"/>
        <w:jc w:val="center"/>
        <w:rPr>
          <w:rFonts w:ascii="Times New Roman" w:eastAsia="Times New Roman" w:hAnsi="Times New Roman"/>
          <w:b/>
          <w:color w:val="000000" w:themeColor="text1"/>
          <w:sz w:val="28"/>
          <w:szCs w:val="28"/>
        </w:rPr>
      </w:pPr>
      <w:r w:rsidRPr="00E46228">
        <w:rPr>
          <w:rFonts w:ascii="Times New Roman" w:hAnsi="Times New Roman"/>
          <w:b/>
          <w:color w:val="000000" w:themeColor="text1"/>
          <w:sz w:val="28"/>
          <w:szCs w:val="28"/>
        </w:rPr>
        <w:t>về thí điểm một số cơ chế, chính sách đặc thù phát triển thành phố Hải Phòng</w:t>
      </w:r>
    </w:p>
    <w:p w:rsidR="007A730D" w:rsidRPr="00E46228" w:rsidRDefault="007A730D" w:rsidP="007A730D">
      <w:pPr>
        <w:spacing w:after="120" w:line="252" w:lineRule="auto"/>
        <w:ind w:firstLine="709"/>
        <w:jc w:val="center"/>
        <w:rPr>
          <w:rFonts w:ascii="Times New Roman" w:hAnsi="Times New Roman"/>
          <w:b/>
          <w:color w:val="000000" w:themeColor="text1"/>
          <w:sz w:val="28"/>
          <w:szCs w:val="28"/>
        </w:rPr>
      </w:pP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pacing w:val="-2"/>
          <w:sz w:val="28"/>
          <w:szCs w:val="28"/>
        </w:rPr>
      </w:pPr>
      <w:r w:rsidRPr="00E46228">
        <w:rPr>
          <w:color w:val="000000" w:themeColor="text1"/>
          <w:spacing w:val="-2"/>
          <w:sz w:val="28"/>
          <w:szCs w:val="28"/>
        </w:rPr>
        <w:t>Tại kỳ họp thứ 02 Quốc hội khóa XV, Quốc hội đã thông qua Nghị quyết số 35/2021/QH15 ngày 13/11/2021 về một số cơ chế, chính sách đặc thù phát triển thành phố Hải Phòng, nhằm thể chế hóa Nghị quyết số 45-NQ/TW ngày 24/01/2019 của Bộ Chính trị về xây dựng và phát triển thành phố Hải Phòng đến năm 2030, tầm nhìn đến năm 2045, tạo căn cứ pháp lý để chủ trương, chính sách của Đảng đi vào cuộc sống, mở ra cơ hội mới, động lực quan trọng cho sự phát triển của thành phố Hải Phòng trong giai đoạn mới. Các cơ chế, chính sách đặc thù được thông qua đã tạo tiền đề quan trọng để thành phố Hải Phòng phát triển kinh tế bứt phá, trở thành động lực tăng trưởng của cả nước, lan tỏa cả vùng miền.</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Dưới sự lãnh đạo, chỉ đạo của Thành uỷ, Ban Thường vụ Thành uỷ, cùng với sự quan tâm, hướng dẫn kịp thời của lãnh đạo Quốc hội, Uỷ ban Thường vụ Quốc hội, sự gắn bó chặt chẽ với các cơ quan của Quốc hội, Đoàn đại biểu Quốc hội Hải Phòng; ngay từ đầu nhiệm kỳ, Hội đồng nhân dân, Thường trực Hội đồng nhân dân thành phố Hải Phòng luôn đồng hành với Uỷ ban nhân dân thành phố, chính quyền địa phương các cấp với tinh thần đổi mới, quyết liệt. Trên cơ sở đó, Hội đồng nhân dân thành phố Hải Phòng hoạt động ngày càng hiệu quả, đạt được nhiều kết quả tích cực, toàn diện.</w:t>
      </w:r>
    </w:p>
    <w:p w:rsidR="007A730D" w:rsidRPr="00E46228" w:rsidRDefault="007A730D" w:rsidP="007A730D">
      <w:pPr>
        <w:pStyle w:val="NormalWeb"/>
        <w:shd w:val="clear" w:color="auto" w:fill="FFFFFF"/>
        <w:spacing w:before="0" w:beforeAutospacing="0" w:after="120" w:afterAutospacing="0" w:line="252" w:lineRule="auto"/>
        <w:ind w:firstLine="567"/>
        <w:jc w:val="both"/>
        <w:rPr>
          <w:b/>
          <w:bCs/>
          <w:color w:val="000000" w:themeColor="text1"/>
          <w:sz w:val="28"/>
          <w:szCs w:val="28"/>
        </w:rPr>
      </w:pPr>
      <w:r w:rsidRPr="00E46228">
        <w:rPr>
          <w:b/>
          <w:bCs/>
          <w:color w:val="000000" w:themeColor="text1"/>
          <w:sz w:val="28"/>
          <w:szCs w:val="28"/>
        </w:rPr>
        <w:t>1. Một số kết quả nổi bật trong hoạt động của Hội đồng nhân dân thành phố Hải Phòng sau 02 năm triển khai thực hiện Nghị quyết số 35/2021/QH15 của Quốc hội</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 xml:space="preserve">1.1. Sau 05 năm liên tiếp thực hiện chủ đề năm “Tăng cường kỷ cương thu, chi ngân sách; đẩy mạnh cải thiện môi trường đầu tư kinh doanh”, từ năm 2021 đến nay, Hội đồng nhân dân thành phố Hải Phòng đã thông qua chủ đề năm về “Đẩy mạnh chỉnh trang, hiện đại hoá đô thị - Xây dựng nông thôn mới – Thực hiện chuyển đổi số”. Với quyết tâm cao, sự vào cuộc quyết liệt của toàn bộ hệ thống chính trị thành phố, mặc dù chịu tác động lớn từ tình hình khó khăn chung của kinh tế thế giới và trong nước, ảnh hưởng của đại dịch Covid19, kinh tế - xã hội thành phố Hải Phòng vẫn tiếp tục ổn định và phát triển. Thành phố Hải Phòng nhiều năm liên tiếp duy trì tốc độ tăng trưởng hai con số, ngay cả trong những năm chịu sự ảnh hưởng khó khăn </w:t>
      </w:r>
      <w:r w:rsidRPr="00E46228">
        <w:rPr>
          <w:color w:val="000000" w:themeColor="text1"/>
          <w:sz w:val="28"/>
          <w:szCs w:val="28"/>
        </w:rPr>
        <w:lastRenderedPageBreak/>
        <w:t>của đại dịch Covid 19. Môi trường đầu tư kinh doanh được cải thiện mạnh mẽ, Hải Phòng trở thành một trong những địa phương có môi trường hấp dẫn nhất đối với các nhà đầu tư trong và ngoài nước. Kết cấu hạ tầng kinh tế - xã hội thành phố tiếp tục được đầu tư xây dựng theo hướng đồng bộ, hiện đại, nhất là hạ tầng giao thông, đô thị trung tâm được chỉnh trang, nâng cấp, không gian đô thị được mở rộng, hướng tới xây dựng, hiện đại hoá đô thị mang đặc trưng riêng của thành phố Cảng biển. Thành phố liên tục khánh thành, khởi công và thi công xây dựng nhiều dự án, công trình quan trọng về giao thông, phát triển đô thị, nhà ở xã hội, nông thôn mới kiểu mẫu. Các lĩnh vực văn hoá, xã hội, môi trường tiếp tục được quan tâm, an sinh xã hội được đảm bảo. An ninh chính trị, trật tự an toàn xã hội được giữ vững.</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 xml:space="preserve">Những kết quả nêu trên là minh chứng thuyết phục cho nỗ lực của toàn đảng bộ, chính quyền thành phố; trong đó, có sự vào cuộc rất tích cực của Hội đồng nhân dân, Thường trực Hội đồng nhân dân thành phố với tinh thần quyết liệt đổi mới, nâng cao hiệu quả, chất lượng công việc, nhất là trong ban hành các chính sách thiết thực, khả thi tháo gỡ những “nút thắt” trong xây dựng và phát triển thành phố. </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lang w:eastAsia="zh-CN"/>
        </w:rPr>
        <w:t>1.2. Hội đồng nhân dân thành phố đã ban hành các nghị quyết thuộc thẩm quyền để triển khai có hiệu quả cơ chế, chính sách đặc thù theo Nghị quyết số 35/2021/QH15.</w:t>
      </w:r>
      <w:r w:rsidRPr="00E46228">
        <w:rPr>
          <w:color w:val="000000" w:themeColor="text1"/>
          <w:sz w:val="28"/>
          <w:szCs w:val="28"/>
          <w:shd w:val="clear" w:color="auto" w:fill="FFFFFF"/>
        </w:rPr>
        <w:t xml:space="preserve"> </w:t>
      </w:r>
      <w:r w:rsidRPr="00E46228">
        <w:rPr>
          <w:color w:val="000000" w:themeColor="text1"/>
          <w:sz w:val="28"/>
          <w:szCs w:val="28"/>
        </w:rPr>
        <w:t xml:space="preserve">Trên cơ sở chương trình hoạt động toàn khoá, các </w:t>
      </w:r>
      <w:r w:rsidRPr="00E46228">
        <w:rPr>
          <w:color w:val="000000" w:themeColor="text1"/>
          <w:sz w:val="28"/>
          <w:szCs w:val="28"/>
          <w:lang w:val="vi-VN"/>
        </w:rPr>
        <w:t xml:space="preserve">định hướng </w:t>
      </w:r>
      <w:r w:rsidRPr="00E46228">
        <w:rPr>
          <w:color w:val="000000" w:themeColor="text1"/>
          <w:sz w:val="28"/>
          <w:szCs w:val="28"/>
        </w:rPr>
        <w:t>q</w:t>
      </w:r>
      <w:r w:rsidRPr="00E46228">
        <w:rPr>
          <w:color w:val="000000" w:themeColor="text1"/>
          <w:sz w:val="28"/>
          <w:szCs w:val="28"/>
          <w:lang w:val="vi-VN"/>
        </w:rPr>
        <w:t xml:space="preserve">uan trọng </w:t>
      </w:r>
      <w:r w:rsidRPr="00E46228">
        <w:rPr>
          <w:color w:val="000000" w:themeColor="text1"/>
          <w:sz w:val="28"/>
          <w:szCs w:val="28"/>
        </w:rPr>
        <w:t xml:space="preserve">trong </w:t>
      </w:r>
      <w:r w:rsidRPr="00E46228">
        <w:rPr>
          <w:color w:val="000000" w:themeColor="text1"/>
          <w:sz w:val="28"/>
          <w:szCs w:val="28"/>
          <w:lang w:val="vi-VN"/>
        </w:rPr>
        <w:t>xây dựng, ban hành nghị quyết phục vụ phát triển kinh tế - xã hội của thành phố</w:t>
      </w:r>
      <w:r w:rsidRPr="00E46228">
        <w:rPr>
          <w:color w:val="000000" w:themeColor="text1"/>
          <w:sz w:val="28"/>
          <w:szCs w:val="28"/>
        </w:rPr>
        <w:t xml:space="preserve"> cũng như cụ thể hoá Nghị quyết số 35/2021/QH15 được chủ động ngay từ đầu. Trải qua 09 kỳ họp, HĐND thành phố đã ban hành 199 nghị quyết; qua đó, các cơ chế, chính sách đặc thù của Nghị quyết số 35/2021/QH15 đã thực sự đi vào cuộc sống, góp phần rất tích cực trong xây dựng và phát triển thành phố Hải Phòng; cụ thể:</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i/>
          <w:iCs/>
          <w:color w:val="000000" w:themeColor="text1"/>
          <w:sz w:val="28"/>
          <w:szCs w:val="28"/>
        </w:rPr>
        <w:t>Thứ nhất,</w:t>
      </w:r>
      <w:r w:rsidRPr="00E46228">
        <w:rPr>
          <w:color w:val="000000" w:themeColor="text1"/>
          <w:sz w:val="28"/>
          <w:szCs w:val="28"/>
        </w:rPr>
        <w:t xml:space="preserve"> chính sách về quản lý quy hoạch đã phân cấp, tạo sự chủ động cho địa phương rút ngắn thời gian thực hiện điều chỉnh, thúc đẩy sớm việc thu hút một số dự án đầu tư trọng điểm có tính chất dẫn dắt, lan tỏa các ngành, lĩnh vực khác cùng phát triển. Tại kỳ họp thứ 5 và kỳ họp thứ 11, Hội đồng nhân dân thành phố đã thông qua Quy hoạch </w:t>
      </w:r>
      <w:r w:rsidRPr="00E46228">
        <w:rPr>
          <w:color w:val="000000" w:themeColor="text1"/>
          <w:sz w:val="28"/>
          <w:szCs w:val="28"/>
          <w:lang w:eastAsia="zh-CN"/>
        </w:rPr>
        <w:t>thành phố Hải Phòng thời kỳ 2021 - 2030, tầm nhìn đến năm 2050</w:t>
      </w:r>
      <w:r w:rsidRPr="00E46228">
        <w:rPr>
          <w:rStyle w:val="FootnoteReference"/>
          <w:color w:val="000000" w:themeColor="text1"/>
          <w:sz w:val="28"/>
          <w:szCs w:val="28"/>
          <w:lang w:eastAsia="zh-CN"/>
        </w:rPr>
        <w:footnoteReference w:id="1"/>
      </w:r>
      <w:r w:rsidRPr="00E46228">
        <w:rPr>
          <w:color w:val="000000" w:themeColor="text1"/>
          <w:sz w:val="28"/>
          <w:szCs w:val="28"/>
          <w:lang w:eastAsia="zh-CN"/>
        </w:rPr>
        <w:t xml:space="preserve">. Trên cơ sở đó, ngày 02/12/2023, Thủ tướng Chính phủ đã ban hành Quyết định số 1516/QĐ-TTg phê duyệt Quy hoạch thành phố Hải Phòng thời kỳ 2021 - 2030, tầm nhìn đến năm 2050 với tư duy đột phá, tầm nhìn dài hạn dựa trên tiềm năng khác biệt, cơ hội nổi trội và lợi thế cạnh tranh, đặt trong mối tương quan, liên kết với các tỉnh ven biển Bắc Bộ, khu vực đồng bằng Sông Hồng, các tỉnh phía Bắc và kết nối quốc tế. </w:t>
      </w:r>
      <w:r w:rsidRPr="00E46228">
        <w:rPr>
          <w:color w:val="000000" w:themeColor="text1"/>
          <w:sz w:val="28"/>
          <w:szCs w:val="28"/>
        </w:rPr>
        <w:t xml:space="preserve">Hội đồng nhân dân thành phố Hải Phòng cũng kịp thời điều chỉnh, </w:t>
      </w:r>
      <w:r w:rsidRPr="00E46228">
        <w:rPr>
          <w:color w:val="000000" w:themeColor="text1"/>
          <w:sz w:val="28"/>
          <w:szCs w:val="28"/>
        </w:rPr>
        <w:lastRenderedPageBreak/>
        <w:t>cho ý kiến một số quy hoạch phân khu chức năng, quy hoạch chung đô thị để đảm bảo sự thống nhất giữa các quy hoạch trong xây dựng và phát triển thành phố Hải Phòng</w:t>
      </w:r>
      <w:r w:rsidRPr="00E46228">
        <w:rPr>
          <w:rStyle w:val="FootnoteReference"/>
          <w:color w:val="000000" w:themeColor="text1"/>
          <w:sz w:val="28"/>
          <w:szCs w:val="28"/>
        </w:rPr>
        <w:footnoteReference w:id="2"/>
      </w:r>
      <w:r w:rsidRPr="00E46228">
        <w:rPr>
          <w:color w:val="000000" w:themeColor="text1"/>
          <w:sz w:val="28"/>
          <w:szCs w:val="28"/>
        </w:rPr>
        <w:t>.</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i/>
          <w:iCs/>
          <w:color w:val="000000" w:themeColor="text1"/>
          <w:sz w:val="28"/>
          <w:szCs w:val="28"/>
        </w:rPr>
        <w:t>Thứ hai,</w:t>
      </w:r>
      <w:r w:rsidRPr="00E46228">
        <w:rPr>
          <w:color w:val="000000" w:themeColor="text1"/>
          <w:sz w:val="28"/>
          <w:szCs w:val="28"/>
        </w:rPr>
        <w:t xml:space="preserve"> các cơ chế, chính sách về bổ sung có mục tiêu từ ngân sách Trung ương, nâng hạn mức dư nợ vay, phí và lệ phí đã khuyến khích thành phố phấn đấu tăng thu ngân sách nhà nước vừa đóng góp cho ngân sách chung của Trung ương vừa để Trung ương có cơ sở hỗ trợ bổ sung nguồn lực cho ngân sách thành phố</w:t>
      </w:r>
      <w:r w:rsidRPr="00E46228">
        <w:rPr>
          <w:rStyle w:val="FootnoteReference"/>
          <w:color w:val="000000" w:themeColor="text1"/>
          <w:sz w:val="28"/>
          <w:szCs w:val="28"/>
        </w:rPr>
        <w:footnoteReference w:id="3"/>
      </w:r>
      <w:r w:rsidRPr="00E46228">
        <w:rPr>
          <w:color w:val="000000" w:themeColor="text1"/>
          <w:sz w:val="28"/>
          <w:szCs w:val="28"/>
        </w:rPr>
        <w:t xml:space="preserve">. </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rPr>
      </w:pPr>
      <w:r w:rsidRPr="00E46228">
        <w:rPr>
          <w:color w:val="000000" w:themeColor="text1"/>
          <w:sz w:val="28"/>
          <w:szCs w:val="28"/>
        </w:rPr>
        <w:t>Trên cơ sở nguồn lực hiện có, Hội đồng nhân dân thành phố ban hành 02 Nghị quyết về xây dựng nông thôn mới thành phố giai đoạn 2021-2025</w:t>
      </w:r>
      <w:r w:rsidRPr="00E46228">
        <w:rPr>
          <w:rStyle w:val="FootnoteReference"/>
          <w:color w:val="000000" w:themeColor="text1"/>
          <w:sz w:val="28"/>
          <w:szCs w:val="28"/>
        </w:rPr>
        <w:footnoteReference w:id="4"/>
      </w:r>
      <w:r w:rsidRPr="00E46228">
        <w:rPr>
          <w:color w:val="000000" w:themeColor="text1"/>
          <w:sz w:val="28"/>
          <w:szCs w:val="28"/>
        </w:rPr>
        <w:t xml:space="preserve">; trong đó ưu tiên bố trí nguồn lực 15.475,62 tỷ đồng để thực hiện Chương trình, phấn đấu hoàn thành chỉ tiêu xây dựng nông thôn mới kiểu mẫu mà Nghị quyết XVI Đại hội Đảng bộ thành phố đã đề ra. Chương trình nông thôn mới kiểu mẫu đã góp phần quan trọng, góp phần xây dựng nông thôn mới đồng bộ, bộ mặt nông thôn được thay đổi căn bản, hạ tầng kinh tế - xã hội nông thôn đồng bộ, hiện đại, gắn với quá trình đô thị hoá. </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lang w:val="nl-NL"/>
        </w:rPr>
      </w:pPr>
      <w:r w:rsidRPr="00E46228">
        <w:rPr>
          <w:color w:val="000000" w:themeColor="text1"/>
          <w:sz w:val="28"/>
          <w:szCs w:val="28"/>
        </w:rPr>
        <w:t>Đồng thời, ban hành một số cơ chế, chính sách thực hiện các chính sách an sinh xã hội thuộc thẩm quyền, duy trì mức chi cao trong các địa phương của cả nước như: tặng quà các gia đình chính sách, người có công, người cao tuổi, hộ nghèo, hộ cận nghèo các dịp lễ, tết với kinh phí 580 tỷ đồng/năm (cao nhất cả nước); kịp thời ban hành chính sách mới đối với đội ngũ cán bộ không chuyên trách ở cơ sở với kinh phí 455 tỷ đồng/năm; c</w:t>
      </w:r>
      <w:r w:rsidRPr="00E46228">
        <w:rPr>
          <w:color w:val="000000" w:themeColor="text1"/>
          <w:sz w:val="28"/>
          <w:szCs w:val="28"/>
          <w:lang w:val="vi-VN"/>
        </w:rPr>
        <w:t>hế độ dinh dưỡng đặc thù</w:t>
      </w:r>
      <w:r w:rsidRPr="00E46228">
        <w:rPr>
          <w:color w:val="000000" w:themeColor="text1"/>
          <w:sz w:val="28"/>
          <w:szCs w:val="28"/>
        </w:rPr>
        <w:t xml:space="preserve"> và</w:t>
      </w:r>
      <w:r w:rsidRPr="00E46228">
        <w:rPr>
          <w:color w:val="000000" w:themeColor="text1"/>
          <w:sz w:val="28"/>
          <w:szCs w:val="28"/>
          <w:lang w:val="vi-VN"/>
        </w:rPr>
        <w:t xml:space="preserve"> </w:t>
      </w:r>
      <w:r w:rsidRPr="00E46228">
        <w:rPr>
          <w:color w:val="000000" w:themeColor="text1"/>
          <w:sz w:val="28"/>
          <w:szCs w:val="28"/>
          <w:lang w:val="pt-BR"/>
        </w:rPr>
        <w:t>mức thưởng</w:t>
      </w:r>
      <w:r w:rsidRPr="00E46228">
        <w:rPr>
          <w:color w:val="000000" w:themeColor="text1"/>
          <w:sz w:val="28"/>
          <w:szCs w:val="28"/>
          <w:lang w:val="vi-VN"/>
        </w:rPr>
        <w:t xml:space="preserve"> đối với huấn luyện viên, vận động viên </w:t>
      </w:r>
      <w:r w:rsidRPr="00E46228">
        <w:rPr>
          <w:color w:val="000000" w:themeColor="text1"/>
          <w:sz w:val="28"/>
          <w:szCs w:val="28"/>
        </w:rPr>
        <w:t>đạt thành tích tại các giải thể thao quốc gia với dự kiến kinh phí gần 40 tỷ đồng/năm (đứng ở tốp đầu cả nước), c</w:t>
      </w:r>
      <w:r w:rsidRPr="00E46228">
        <w:rPr>
          <w:color w:val="000000" w:themeColor="text1"/>
          <w:sz w:val="28"/>
          <w:szCs w:val="28"/>
          <w:lang w:val="vi-VN"/>
        </w:rPr>
        <w:t>hính sách về hỗ trợ đào tạo, đãi ngộ nhân lực ngành y tế</w:t>
      </w:r>
      <w:r w:rsidRPr="00E46228">
        <w:rPr>
          <w:color w:val="000000" w:themeColor="text1"/>
          <w:sz w:val="28"/>
          <w:szCs w:val="28"/>
        </w:rPr>
        <w:t xml:space="preserve"> với </w:t>
      </w:r>
      <w:r w:rsidRPr="00E46228">
        <w:rPr>
          <w:color w:val="000000" w:themeColor="text1"/>
          <w:sz w:val="28"/>
          <w:szCs w:val="28"/>
          <w:lang w:val="nl-NL"/>
        </w:rPr>
        <w:t xml:space="preserve">tổng kinh phí dự kiến thực hiện giai đoạn 2024 – 2030 khoảng </w:t>
      </w:r>
      <w:r w:rsidRPr="00E46228">
        <w:rPr>
          <w:bCs/>
          <w:color w:val="000000" w:themeColor="text1"/>
          <w:sz w:val="28"/>
          <w:szCs w:val="28"/>
          <w:lang w:val="nl-NL"/>
        </w:rPr>
        <w:t>315,8 tỷ</w:t>
      </w:r>
      <w:r w:rsidRPr="00E46228">
        <w:rPr>
          <w:color w:val="000000" w:themeColor="text1"/>
          <w:sz w:val="28"/>
          <w:szCs w:val="28"/>
          <w:lang w:val="nl-NL"/>
        </w:rPr>
        <w:t xml:space="preserve"> đồng. Việc ban hành các cơ chế đặc thù có tính vượt trội thực hiện chính sách an sinh xã hội của thành phố cũng được đánh giá là điểm sáng trong hoạt động của HĐND thành phố. Hải Phòng tiếp tục giữ vững vị trí tốp đầu cả nước trong thực hiện chính sách an sinh xã hội, đáp ứng được nguyện vọng của đông đảo cử tri, Nhân dân thành phố. </w:t>
      </w:r>
    </w:p>
    <w:p w:rsidR="007A730D" w:rsidRPr="00E46228" w:rsidRDefault="007A730D" w:rsidP="007A730D">
      <w:pPr>
        <w:pStyle w:val="NormalWeb"/>
        <w:shd w:val="clear" w:color="auto" w:fill="FFFFFF"/>
        <w:spacing w:before="0" w:beforeAutospacing="0" w:after="120" w:afterAutospacing="0" w:line="252" w:lineRule="auto"/>
        <w:ind w:firstLine="709"/>
        <w:jc w:val="both"/>
        <w:textAlignment w:val="baseline"/>
        <w:rPr>
          <w:color w:val="000000" w:themeColor="text1"/>
          <w:sz w:val="28"/>
          <w:szCs w:val="28"/>
          <w:lang w:val="nl-NL"/>
        </w:rPr>
      </w:pPr>
      <w:r w:rsidRPr="00E46228">
        <w:rPr>
          <w:i/>
          <w:iCs/>
          <w:color w:val="000000" w:themeColor="text1"/>
          <w:sz w:val="28"/>
          <w:szCs w:val="28"/>
          <w:lang w:val="nl-NL"/>
        </w:rPr>
        <w:t>Thứ ba,</w:t>
      </w:r>
      <w:r w:rsidRPr="00E46228">
        <w:rPr>
          <w:color w:val="000000" w:themeColor="text1"/>
          <w:sz w:val="28"/>
          <w:szCs w:val="28"/>
          <w:lang w:val="nl-NL"/>
        </w:rPr>
        <w:t xml:space="preserve"> chính sách về quản lý đất đai tạo điều kiện thuận lợi cho thành phố Hải Phòng chủ động, linh hoạt và phản ứng nhanh với những yêu cầu cấp bách về khai thác, sử dụng nguồn lực đất đai, từ đó tạo môi trường thông thoáng, nâng cao </w:t>
      </w:r>
      <w:r w:rsidRPr="00E46228">
        <w:rPr>
          <w:color w:val="000000" w:themeColor="text1"/>
          <w:sz w:val="28"/>
          <w:szCs w:val="28"/>
          <w:lang w:val="nl-NL"/>
        </w:rPr>
        <w:lastRenderedPageBreak/>
        <w:t>sức cạnh tranh cho thành phố trong việc thu hút đầu tư các dự án động lực trên địa bàn để phát triển kinh tế-xã hội. Đến nay, Hội đồng nhân dân thành phố đã thông qua 05 Nghị quyết cho phép chuyển mục đích sử dụng đất chuyên trồng lúa nước từ 02 vụ trở lên theo phân cấp của Thủ tướng Chính phủ với tổng diện tích là 578,072 ha được chuyển mục đích sử dụng</w:t>
      </w:r>
      <w:r w:rsidRPr="00E46228">
        <w:rPr>
          <w:rStyle w:val="FootnoteReference"/>
          <w:color w:val="000000" w:themeColor="text1"/>
          <w:sz w:val="28"/>
          <w:szCs w:val="28"/>
        </w:rPr>
        <w:footnoteReference w:id="5"/>
      </w:r>
      <w:r w:rsidRPr="00E46228">
        <w:rPr>
          <w:color w:val="000000" w:themeColor="text1"/>
          <w:sz w:val="28"/>
          <w:szCs w:val="28"/>
          <w:lang w:val="nl-NL"/>
        </w:rPr>
        <w:t>; triển khai thực hiện nhiều dự án thực hiện chính sách về xây dựng và phát triển nhà ở xã hội, hạ tầng kỹ thuật các khu, cụm công nghiệp, xây dựng khu đô thị mới…</w:t>
      </w:r>
    </w:p>
    <w:p w:rsidR="007A730D" w:rsidRPr="00E46228" w:rsidRDefault="007A730D" w:rsidP="007A730D">
      <w:pPr>
        <w:pStyle w:val="NormalWeb"/>
        <w:shd w:val="clear" w:color="auto" w:fill="FFFFFF"/>
        <w:spacing w:before="0" w:beforeAutospacing="0" w:after="120" w:afterAutospacing="0" w:line="252" w:lineRule="auto"/>
        <w:ind w:firstLine="709"/>
        <w:jc w:val="both"/>
        <w:textAlignment w:val="baseline"/>
        <w:rPr>
          <w:color w:val="000000" w:themeColor="text1"/>
          <w:sz w:val="28"/>
          <w:szCs w:val="28"/>
          <w:lang w:val="nl-NL"/>
        </w:rPr>
      </w:pPr>
      <w:r w:rsidRPr="00E46228">
        <w:rPr>
          <w:i/>
          <w:iCs/>
          <w:color w:val="000000" w:themeColor="text1"/>
          <w:sz w:val="28"/>
          <w:szCs w:val="28"/>
          <w:lang w:val="nl-NL"/>
        </w:rPr>
        <w:t>Thứ ba,</w:t>
      </w:r>
      <w:r w:rsidRPr="00E46228">
        <w:rPr>
          <w:color w:val="000000" w:themeColor="text1"/>
          <w:sz w:val="28"/>
          <w:szCs w:val="28"/>
          <w:lang w:val="nl-NL"/>
        </w:rPr>
        <w:t xml:space="preserve"> chính sách về thu nhập cho cán bộ, viên chức sẽ là cơ chế tốt thu hút, giữ chân nguồn nhân lực, nhất là nhân lực chất lượng cao-lực lượng đảm bảo sự phát triển của thành phố trong tương lai. Thời gian qua, mặc dù Hải Phòng là thành phố phát triển trực thuộc Trung ương, tốc độ phát triển kinh tế cao, nguồn thu lớn song do quy định, tiền lương của cán bộ, viên chức đang ngang bằng với các địa phương có thu nhập thấp hơn. Đến nay, sau khi triển khai thực hiện Nghị quyết số 35/2021/QH15, tiền lương, mức thu nhập của cán bộ, công chức, viên chức của thành phố đã tăng ở mức khá (sau thành phố Hồ Chí Minh)</w:t>
      </w:r>
      <w:r w:rsidRPr="00E46228">
        <w:rPr>
          <w:rStyle w:val="FootnoteReference"/>
          <w:color w:val="000000" w:themeColor="text1"/>
          <w:sz w:val="28"/>
          <w:szCs w:val="28"/>
        </w:rPr>
        <w:footnoteReference w:id="6"/>
      </w:r>
      <w:r w:rsidRPr="00E46228">
        <w:rPr>
          <w:color w:val="000000" w:themeColor="text1"/>
          <w:sz w:val="28"/>
          <w:szCs w:val="28"/>
          <w:lang w:val="nl-NL"/>
        </w:rPr>
        <w:t>.</w:t>
      </w:r>
    </w:p>
    <w:p w:rsidR="007A730D" w:rsidRPr="00E46228" w:rsidRDefault="007A730D" w:rsidP="007A730D">
      <w:pPr>
        <w:pStyle w:val="NormalWeb"/>
        <w:shd w:val="clear" w:color="auto" w:fill="FFFFFF"/>
        <w:spacing w:before="0" w:beforeAutospacing="0" w:after="120" w:afterAutospacing="0" w:line="252" w:lineRule="auto"/>
        <w:ind w:firstLine="709"/>
        <w:jc w:val="both"/>
        <w:textAlignment w:val="baseline"/>
        <w:rPr>
          <w:color w:val="000000" w:themeColor="text1"/>
          <w:sz w:val="28"/>
          <w:szCs w:val="28"/>
          <w:lang w:val="nl-NL"/>
        </w:rPr>
      </w:pPr>
      <w:r w:rsidRPr="00E46228">
        <w:rPr>
          <w:color w:val="000000" w:themeColor="text1"/>
          <w:sz w:val="28"/>
          <w:szCs w:val="28"/>
          <w:lang w:val="nl-NL"/>
        </w:rPr>
        <w:t>Các cơ chế, chính sách đặc thù theo Nghị quyết số 35/2021/QH15 đã được Hội đồng nhân dân thành phố triển khai hiệu quả, cụ thể hoá kịp thời để tạo động lực quan trọng để Hải Phòng phát triển không chỉ riêng cho mình, mà hơn hết còn vì sự phát triển chung của cả nước, là động lực phát triển của vùng Bắc Bộ và của cả nước. Đối với khu vực miền Bắc, ngoài Thủ đô Hà Nội, hiện chưa có tỉnh nào được thực hiện một số cơ chế, chính sách đặc thù để góp phần cùng Hà Nội phát triển khu vực Bắc Bộ.</w:t>
      </w:r>
    </w:p>
    <w:p w:rsidR="007A730D" w:rsidRPr="00E46228" w:rsidRDefault="007A730D" w:rsidP="007A730D">
      <w:pPr>
        <w:pStyle w:val="NormalWeb"/>
        <w:shd w:val="clear" w:color="auto" w:fill="FFFFFF"/>
        <w:spacing w:before="0" w:beforeAutospacing="0" w:after="120" w:afterAutospacing="0" w:line="252" w:lineRule="auto"/>
        <w:ind w:firstLine="709"/>
        <w:jc w:val="both"/>
        <w:textAlignment w:val="baseline"/>
        <w:rPr>
          <w:color w:val="000000" w:themeColor="text1"/>
          <w:sz w:val="28"/>
          <w:szCs w:val="28"/>
          <w:lang w:val="vi-VN"/>
        </w:rPr>
      </w:pPr>
      <w:r w:rsidRPr="00E46228">
        <w:rPr>
          <w:color w:val="000000" w:themeColor="text1"/>
          <w:sz w:val="28"/>
          <w:szCs w:val="28"/>
          <w:lang w:val="nl-NL"/>
        </w:rPr>
        <w:t>1.3. Hội đồng nhân dân thành phố, Thường trực HĐND thành phố tiếp tục đổi mới mạnh mẽ các hoạt động giám sát, hoạt động tiếp xúc cử tri với nhiều cách làm sáng tạo, đem lại hiệu quả thiết thực. Hoạt động động giám sát được</w:t>
      </w:r>
      <w:r w:rsidRPr="00E46228">
        <w:rPr>
          <w:color w:val="000000" w:themeColor="text1"/>
          <w:sz w:val="28"/>
          <w:szCs w:val="28"/>
          <w:lang w:val="vi-VN"/>
        </w:rPr>
        <w:t xml:space="preserve"> tăng cường cả về số lượng và chất lượng; nội dung giám sát chuyên đề trúng trọng tâm, hoạt động chất vấn đi vào những vấn đề “nóng” được đông đảo cử tri và Nhân dân thành phố quan tâm. Hội đồng nhân dân thành phố đã ban hành 04 nghị quyết về giám sát, 03 nghị quyết về chất vấn; Thường trực Hội đồng nhân dân tổ chức giám sát 04 chuyên đề; các Ban Hội đồng nhân dân giám sát 21 chuyên đề; qua đó, đã làm việc trực tiếp với 132 cơ quan, đơn vị; bước đầu huy động nhiều lượt chuyên gia tham gia hoạt động giám sát, đánh giá chuyên sâu các hồ sơ, tài liệu liên quan đến nội dung giám sát.</w:t>
      </w:r>
    </w:p>
    <w:p w:rsidR="007A730D" w:rsidRPr="00E46228" w:rsidRDefault="007A730D" w:rsidP="007A730D">
      <w:pPr>
        <w:pStyle w:val="NormalWeb"/>
        <w:shd w:val="clear" w:color="auto" w:fill="FFFFFF"/>
        <w:spacing w:before="0" w:beforeAutospacing="0" w:after="120" w:afterAutospacing="0" w:line="252" w:lineRule="auto"/>
        <w:ind w:firstLine="709"/>
        <w:jc w:val="both"/>
        <w:textAlignment w:val="baseline"/>
        <w:rPr>
          <w:color w:val="000000" w:themeColor="text1"/>
          <w:sz w:val="28"/>
          <w:szCs w:val="28"/>
          <w:lang w:val="vi-VN"/>
        </w:rPr>
      </w:pPr>
      <w:r w:rsidRPr="00E46228">
        <w:rPr>
          <w:color w:val="000000" w:themeColor="text1"/>
          <w:sz w:val="28"/>
          <w:szCs w:val="28"/>
          <w:lang w:val="vi-VN"/>
        </w:rPr>
        <w:lastRenderedPageBreak/>
        <w:t xml:space="preserve">Trên cơ sở kết quả giám sát, chất ấn, nhiều vấn đề đã được giải quyết, nhiều hạn chế đã có chuyển biến tích cực sau giám sát (như: vấn đề bảo vệ nguồn nước ngọt, bảo đảm an toàn tại các hồ nước trong mùa mưa lũ, chính sách dành cho đội ngũ cán bộ không chuyên trách ở cơ sở, hỗ trợ nhân lực ngành Y tế, cải tạo chung cư cũ, xây dựng nhà ở xã hội…), đáp ứng được mong mỏi, nguyện vọng của người dân và ý kiến, kiến nghị của cử tri thành phố. Hội đồng nhân dân đã thể hiện ngày càng rõ vai trò cơ quan quyền lực nhà nước tại địa phương, đại diện tiếng nói, nguyện vọng của người dân. </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shd w:val="clear" w:color="auto" w:fill="FFFFFF"/>
          <w:lang w:val="vi-VN"/>
        </w:rPr>
      </w:pPr>
      <w:r w:rsidRPr="00E46228">
        <w:rPr>
          <w:color w:val="000000" w:themeColor="text1"/>
          <w:sz w:val="28"/>
          <w:szCs w:val="28"/>
          <w:shd w:val="clear" w:color="auto" w:fill="FFFFFF"/>
          <w:lang w:val="vi-VN"/>
        </w:rPr>
        <w:t xml:space="preserve">Để các nghị quyết của HĐND thành phố ban hành phù hợp, khả thi, sớm phát huy hiệu quả trong thực tiễn, ngay từ công tác chuẩn bị ban hành nghị quyết đã được Thường trực HĐND thành phố chủ động từ sớm từ xa, đồng hành, phối hợp hiệu quả cùng UBND thành phố trong quá trình thực hiện. Với tinh thần nâng cao vai trò trách nhiệm, cùng tháo gỡ nút thắt phục vụ sự phát triển chung của thành phố, Thường trực HĐND thành phố đã chủ động tổ chức các hội nghị tham vấn, lấy ý kiến tham gia, tổ chức tiếp xúc cử tri rộng rãi hoặc theo chuyên đề phù hợp; qua đó, tiếp thu được nhiều ý kiến đóng góp quý báu của cử tri và Nhân dân thành phố vào nội dung các cơ chế, chính sách trình HĐND thành phố thông qua. </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pacing w:val="-8"/>
          <w:sz w:val="28"/>
          <w:szCs w:val="28"/>
          <w:shd w:val="clear" w:color="auto" w:fill="FFFFFF"/>
          <w:lang w:val="vi-VN"/>
        </w:rPr>
      </w:pPr>
      <w:r w:rsidRPr="00E46228">
        <w:rPr>
          <w:color w:val="000000" w:themeColor="text1"/>
          <w:sz w:val="28"/>
          <w:szCs w:val="28"/>
          <w:shd w:val="clear" w:color="auto" w:fill="FFFFFF"/>
          <w:lang w:val="vi-VN"/>
        </w:rPr>
        <w:t xml:space="preserve">Ngay sau các kỳ họp của HĐND thành phố, Thường trực HĐND thành phố đã phối hợp với UBND thành phố khẩn trương triển khai, cụ thể hoá các nghị quyết của HĐND thành phố bằng những chương trình, kế hoạch, giao chỉ tiêu, nhiệm vụ cụ thể đến từng cơ quan, đơn vị của thành phố. Công tác tổ chức giám sát quá trình triển khai thực hiện nghị quyết cũng được đặc biệt quan tâm; Thường trực HĐND thành phố đã tổ chức nhiều Đoàn giám sát, phiên giải trình liên quan đến tình hình thực hiện nghị quyết; qua đó, nhiều vấn đề vướng mắc, khó khăn đã được tháo gỡ kịp thời. Đặc biệt, Thường trực HĐND thành phố đã triển khai phần mềm theo dõi, đánh giá quá trình thực hiện nghị quyết của HĐND thành phố, hướng đến mục tiêu 100% nghị quyết của HĐND thành phố được theo dõi, giám sát quá trình thực hiện </w:t>
      </w:r>
      <w:r w:rsidRPr="00E46228">
        <w:rPr>
          <w:color w:val="000000" w:themeColor="text1"/>
          <w:spacing w:val="-8"/>
          <w:sz w:val="28"/>
          <w:szCs w:val="28"/>
          <w:shd w:val="clear" w:color="auto" w:fill="FFFFFF"/>
          <w:lang w:val="vi-VN"/>
        </w:rPr>
        <w:t>trên môi trường điện tử; tiếp tục đánh giá, mở rộng dần quá trình theo dõi, giám sát việc thực hiện nghị quyết của HĐND thành phố đến toàn bộ cử tri và nhân dân thành phố.</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lang w:val="vi-VN"/>
        </w:rPr>
      </w:pPr>
      <w:r w:rsidRPr="00E46228">
        <w:rPr>
          <w:color w:val="000000" w:themeColor="text1"/>
          <w:sz w:val="28"/>
          <w:szCs w:val="28"/>
          <w:lang w:val="vi-VN"/>
        </w:rPr>
        <w:t>Hoạt động tiếp xúc cử tri được thực hiện sáng tạo, linh hoạt, được tổ chức luân phiên theo từng nhóm vấn đề, chuyên đề; mở rộng phạm vi tiếp xúc cử tri; đối tượng tiếp xúc cử tri đa dạng, có sự tham gia của</w:t>
      </w:r>
      <w:r w:rsidRPr="00E46228">
        <w:rPr>
          <w:color w:val="000000" w:themeColor="text1"/>
          <w:sz w:val="28"/>
          <w:szCs w:val="28"/>
          <w:shd w:val="clear" w:color="auto" w:fill="FFFFFF"/>
          <w:lang w:val="vi-VN"/>
        </w:rPr>
        <w:t xml:space="preserve"> các đồng chí nguyên là lãnh đạo thành phố, đại diện các tổ chức thành viên của Mặt trận Tổ quốc Việt Nam thành phố, các chuyên gia, nhà khoa học đang công tác trên địa bàn thành phố…</w:t>
      </w:r>
      <w:r w:rsidRPr="00E46228">
        <w:rPr>
          <w:color w:val="000000" w:themeColor="text1"/>
          <w:sz w:val="28"/>
          <w:szCs w:val="28"/>
          <w:lang w:val="vi-VN"/>
        </w:rPr>
        <w:t>; qua đó, tiếp thu được nhiều ý kiến tham gia tâm huyết, trí tuệ, trách nhiệm, gợi mở nhiều giải pháp thiết thực giúp HĐND thành phố có những quyết sách đúng, trúng, thiết thực, hợp lòng dân.</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lang w:val="vi-VN"/>
        </w:rPr>
      </w:pPr>
      <w:r w:rsidRPr="00E46228">
        <w:rPr>
          <w:color w:val="000000" w:themeColor="text1"/>
          <w:sz w:val="28"/>
          <w:szCs w:val="28"/>
          <w:lang w:val="vi-VN"/>
        </w:rPr>
        <w:lastRenderedPageBreak/>
        <w:t>1.4. Thực hiện đúng chủ trương lãnh đạo, chỉ đạo của Quốc hội về nâng cao và đổi mới chất lượng hoạt động đối với cả Hội đồng nhân dân thành phố cấp huyện, cấp xã; Thường trực Hội đồng nhân dân thành phố đã tăng cường gắn kết chặt chẽ với hoạt động của Hội đồng nhân dân các cấp trên địa bàn; tiếp tục tổ chức giao ban trao đổi kinh nghiệm hoạt động với Thường trực Hội đồng nhân dân quận, huyện; chỉ đạo triển khai thực hiện thống nhất kỳ họp số di động tại Hội đồng nhân dân quận, huyện (đến nay, 100% Hội đồng nhân quận, huyện đã ứng dụng thành công kỳ họp số di động).</w:t>
      </w:r>
    </w:p>
    <w:p w:rsidR="007A730D" w:rsidRPr="00E46228" w:rsidRDefault="007A730D" w:rsidP="007A730D">
      <w:pPr>
        <w:pStyle w:val="NormalWeb"/>
        <w:shd w:val="clear" w:color="auto" w:fill="FFFFFF"/>
        <w:spacing w:before="0" w:beforeAutospacing="0" w:after="120" w:afterAutospacing="0" w:line="252" w:lineRule="auto"/>
        <w:ind w:firstLine="567"/>
        <w:jc w:val="both"/>
        <w:rPr>
          <w:color w:val="000000" w:themeColor="text1"/>
          <w:sz w:val="28"/>
          <w:szCs w:val="28"/>
          <w:lang w:val="vi-VN"/>
        </w:rPr>
      </w:pPr>
      <w:r w:rsidRPr="00E46228">
        <w:rPr>
          <w:color w:val="000000" w:themeColor="text1"/>
          <w:sz w:val="28"/>
          <w:szCs w:val="28"/>
          <w:lang w:val="vi-VN"/>
        </w:rPr>
        <w:t>Để kịp thời biểu dương, khen thưởng các điển hình tiên tiến, các mô hình, phương thức đổi mới, sáng tạo trong hoạt động của Hội đồng nhân dân các cấp theo hướng ngày càng thực chất, hiệu quả, Hội đồng nhân dân thành phố đã ban hành Kế hoạch tổ chức Hội nghị phát động phong trào thi đua trong hoạt động Hội đồng nhân dân các cấp thành phố Hải Phòng nhiệm kỳ 2021-2026 và ký kết giao ước thi đua năm 2023 nhằm tạo sự chuyển biến mạnh mẽ trong tổ chức và hoạt động Hội đồng nhân dân gắn với thực hiện các phong trào thi đua yêu nước thành phố đã phát động. Đến nay, có 29 tập thể và 60 đại biểu Hội đồng nhân dân cấp huyện, cấp xã được đề nghị thành phố khen thưởng trong hoạt động năm 2023.</w:t>
      </w:r>
    </w:p>
    <w:p w:rsidR="007A730D" w:rsidRPr="00E46228" w:rsidRDefault="007A730D" w:rsidP="007A730D">
      <w:pPr>
        <w:pStyle w:val="NormalWeb"/>
        <w:shd w:val="clear" w:color="auto" w:fill="FFFFFF"/>
        <w:spacing w:before="0" w:beforeAutospacing="0" w:after="120" w:afterAutospacing="0" w:line="252" w:lineRule="auto"/>
        <w:ind w:firstLine="709"/>
        <w:jc w:val="both"/>
        <w:textAlignment w:val="baseline"/>
        <w:rPr>
          <w:b/>
          <w:bCs/>
          <w:color w:val="000000" w:themeColor="text1"/>
          <w:sz w:val="28"/>
          <w:szCs w:val="28"/>
          <w:lang w:val="vi-VN"/>
        </w:rPr>
      </w:pPr>
      <w:r w:rsidRPr="00E46228">
        <w:rPr>
          <w:b/>
          <w:bCs/>
          <w:color w:val="000000" w:themeColor="text1"/>
          <w:sz w:val="28"/>
          <w:szCs w:val="28"/>
          <w:lang w:val="vi-VN"/>
        </w:rPr>
        <w:t>2. Một số kiến nghị, đề xuất</w:t>
      </w:r>
    </w:p>
    <w:p w:rsidR="007A730D" w:rsidRPr="00E46228" w:rsidRDefault="007A730D" w:rsidP="007A730D">
      <w:pPr>
        <w:widowControl w:val="0"/>
        <w:pBdr>
          <w:top w:val="nil"/>
          <w:left w:val="nil"/>
          <w:bottom w:val="nil"/>
          <w:right w:val="nil"/>
          <w:between w:val="nil"/>
        </w:pBdr>
        <w:spacing w:after="120" w:line="252" w:lineRule="auto"/>
        <w:ind w:right="6" w:firstLine="709"/>
        <w:jc w:val="both"/>
        <w:rPr>
          <w:rFonts w:ascii="Times New Roman" w:eastAsia="Times New Roman" w:hAnsi="Times New Roman"/>
          <w:color w:val="000000" w:themeColor="text1"/>
          <w:sz w:val="28"/>
          <w:szCs w:val="28"/>
          <w:lang w:eastAsia="vi-VN"/>
        </w:rPr>
      </w:pPr>
      <w:r w:rsidRPr="00E46228">
        <w:rPr>
          <w:rFonts w:ascii="Times New Roman" w:eastAsia="Times New Roman" w:hAnsi="Times New Roman"/>
          <w:color w:val="000000" w:themeColor="text1"/>
          <w:sz w:val="28"/>
          <w:szCs w:val="28"/>
          <w:lang w:eastAsia="vi-VN"/>
        </w:rPr>
        <w:t>- Quốc hội cho phép thành phố Hải Phòng được tổ chức thực hiện mô hình tổ chức chínhh quyền đô thị từ nhiệm kỳ 2026-2031, chỉ đạo các cơ quan liên quan phối hợp chặt chẽ với thành phố Hải Phòng hoàn thiện hồ sơ trình Quốc hội quyết định; tiếp tục quan tâm phân cấp để Hội đồng nhân dân thành phố Hải Phòng được quyết định một số cơ chế, chính sách đặc thù phát triển Hải Phòng tương xứng với tiềm năng, thế mạnh của thành phố.</w:t>
      </w:r>
    </w:p>
    <w:p w:rsidR="007A730D" w:rsidRPr="00E46228" w:rsidRDefault="007A730D" w:rsidP="007A730D">
      <w:pPr>
        <w:widowControl w:val="0"/>
        <w:pBdr>
          <w:top w:val="nil"/>
          <w:left w:val="nil"/>
          <w:bottom w:val="nil"/>
          <w:right w:val="nil"/>
          <w:between w:val="nil"/>
        </w:pBdr>
        <w:spacing w:after="120" w:line="252" w:lineRule="auto"/>
        <w:ind w:right="6" w:firstLine="709"/>
        <w:jc w:val="both"/>
        <w:rPr>
          <w:rFonts w:ascii="Times New Roman" w:eastAsia="Times New Roman" w:hAnsi="Times New Roman"/>
          <w:color w:val="000000" w:themeColor="text1"/>
          <w:sz w:val="28"/>
          <w:szCs w:val="28"/>
          <w:lang w:eastAsia="vi-VN"/>
        </w:rPr>
      </w:pPr>
      <w:r w:rsidRPr="00E46228">
        <w:rPr>
          <w:rFonts w:ascii="Times New Roman" w:eastAsia="Times New Roman" w:hAnsi="Times New Roman"/>
          <w:color w:val="000000" w:themeColor="text1"/>
          <w:sz w:val="28"/>
          <w:szCs w:val="28"/>
          <w:lang w:eastAsia="vi-VN"/>
        </w:rPr>
        <w:t>-  Quốc hội nghiên cứu, sửa đổi các quy định liên quan đến tổ chức và hoạt động của Hội đồng nhân dân các cấp, theo hướng tăng tỷ lệ đại biểu Hội đồng nhân dân hoạt động chuyên trách để bổ sung nhân lực cho các Ban Hội đồng nhân dân, đảm bảo hoạt động của Hội đồng nhân dân ngày càng chuyên nghiệp, hiệu quả hơn.</w:t>
      </w:r>
    </w:p>
    <w:p w:rsidR="007A730D" w:rsidRPr="00E46228" w:rsidRDefault="007A730D" w:rsidP="007A730D">
      <w:pPr>
        <w:widowControl w:val="0"/>
        <w:pBdr>
          <w:top w:val="nil"/>
          <w:left w:val="nil"/>
          <w:bottom w:val="nil"/>
          <w:right w:val="nil"/>
          <w:between w:val="nil"/>
        </w:pBdr>
        <w:spacing w:after="120" w:line="252" w:lineRule="auto"/>
        <w:ind w:right="6" w:firstLine="709"/>
        <w:jc w:val="both"/>
        <w:rPr>
          <w:rFonts w:ascii="Times New Roman" w:eastAsia="Times New Roman" w:hAnsi="Times New Roman"/>
          <w:color w:val="000000" w:themeColor="text1"/>
          <w:sz w:val="28"/>
          <w:szCs w:val="28"/>
          <w:lang w:eastAsia="vi-VN"/>
        </w:rPr>
      </w:pPr>
      <w:r w:rsidRPr="00E46228">
        <w:rPr>
          <w:rFonts w:ascii="Times New Roman" w:eastAsia="Times New Roman" w:hAnsi="Times New Roman"/>
          <w:color w:val="000000" w:themeColor="text1"/>
          <w:sz w:val="28"/>
          <w:szCs w:val="28"/>
          <w:lang w:eastAsia="vi-VN"/>
        </w:rPr>
        <w:t>- Cho phép các địa phương đã được Quốc hội ban hành các nghị quyết thí điểm một số chính sách đặc thù để phát triển được nghiên cứu, đề xuất sửa đổi, bổ sung các cơ chế, chính sách đặc thù cho phù hợp với tình hình thực tiễn. Đồng thời, chỉ đạo các địa phương đang được thực hiện thí điểm các chính sách đặc thù rà soát, đánh giá những chính sách thực hiện đã phát huy hiệu quả tích cực để đề xuất cho phép nhân rộng, áp dụng chung đối với các tỉnh, thành phố khác, phát huy hiệu quả tối đa của các chính sách đã thực hiện thí điểm.</w:t>
      </w:r>
    </w:p>
    <w:p w:rsidR="007A730D" w:rsidRPr="00E46228" w:rsidRDefault="007A730D" w:rsidP="007A730D">
      <w:pPr>
        <w:widowControl w:val="0"/>
        <w:pBdr>
          <w:top w:val="nil"/>
          <w:left w:val="nil"/>
          <w:bottom w:val="nil"/>
          <w:right w:val="nil"/>
          <w:between w:val="nil"/>
        </w:pBdr>
        <w:spacing w:after="120" w:line="252" w:lineRule="auto"/>
        <w:ind w:right="6" w:firstLine="561"/>
        <w:jc w:val="both"/>
        <w:rPr>
          <w:rFonts w:ascii="Times New Roman" w:hAnsi="Times New Roman"/>
          <w:color w:val="000000" w:themeColor="text1"/>
          <w:spacing w:val="4"/>
          <w:sz w:val="28"/>
          <w:szCs w:val="28"/>
        </w:rPr>
      </w:pPr>
      <w:r w:rsidRPr="00E46228">
        <w:rPr>
          <w:rFonts w:ascii="Times New Roman" w:eastAsia="Times New Roman" w:hAnsi="Times New Roman"/>
          <w:color w:val="000000" w:themeColor="text1"/>
          <w:sz w:val="28"/>
          <w:szCs w:val="28"/>
          <w:lang w:eastAsia="vi-VN"/>
        </w:rPr>
        <w:t xml:space="preserve">Theo đó, cho phép thành phố Hải Phòng được bổ sung một số cơ chế, chính </w:t>
      </w:r>
      <w:r w:rsidRPr="00E46228">
        <w:rPr>
          <w:rFonts w:ascii="Times New Roman" w:eastAsia="Times New Roman" w:hAnsi="Times New Roman"/>
          <w:color w:val="000000" w:themeColor="text1"/>
          <w:sz w:val="28"/>
          <w:szCs w:val="28"/>
          <w:lang w:eastAsia="vi-VN"/>
        </w:rPr>
        <w:lastRenderedPageBreak/>
        <w:t xml:space="preserve">sách đặc thù do Quốc hội phê duyệt như: hỗ trợ doanh nghiệp đầu tư vào lĩnh vực phát triển du lịch, dịch vụ; vấn đề mở rộng không gian đô thị, lấn biển; vấn đề về chuyển đổi số và thực hiện tốt hơn các chính sách an sinh xã hội; thu hút đào tạo nhân tài cho thành phố, </w:t>
      </w:r>
      <w:r w:rsidRPr="00E46228">
        <w:rPr>
          <w:rFonts w:ascii="Times New Roman" w:hAnsi="Times New Roman"/>
          <w:color w:val="000000" w:themeColor="text1"/>
          <w:spacing w:val="4"/>
          <w:sz w:val="28"/>
          <w:szCs w:val="28"/>
        </w:rPr>
        <w:t>góp phần thực hiện tốt các mục tiêu phát triển của thành phố đặt ra tại Nghị quyết Đại hội Đảng bộ thành phố lần thứ XVI; Nghị quyết Đại hội Đảng toàn quốc lần thứ XIII và thực hiện được những kỳ vọng của Đảng, Nhà nước Quốc hội về phát triển thành phố Hải Phòng xứng tầm là trở thành thành phố công nghiệp phát triển hiện đại, thông minh, bền vững tầm cỡ khu vực Đông Nam Á vào năm 2030 và trở thành thành phố có trình độ phát triển cao trong nhóm các thành phố hàng đầu Châu Á và thế giới đến năm 2050 như mục tiêu đề ra của Nghị quyết số 45-NQ/TW về xây dựng phát triển thành phố Hải Phòng đến năm 2030, tầm nhìn đến năm 2045 của Bộ Chính trị./.</w:t>
      </w:r>
    </w:p>
    <w:p w:rsidR="001345F3" w:rsidRDefault="001345F3">
      <w:bookmarkStart w:id="0" w:name="_GoBack"/>
      <w:bookmarkEnd w:id="0"/>
    </w:p>
    <w:sectPr w:rsidR="00134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31B" w:rsidRDefault="009C031B" w:rsidP="007A730D">
      <w:pPr>
        <w:spacing w:after="0" w:line="240" w:lineRule="auto"/>
      </w:pPr>
      <w:r>
        <w:separator/>
      </w:r>
    </w:p>
  </w:endnote>
  <w:endnote w:type="continuationSeparator" w:id="0">
    <w:p w:rsidR="009C031B" w:rsidRDefault="009C031B" w:rsidP="007A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31B" w:rsidRDefault="009C031B" w:rsidP="007A730D">
      <w:pPr>
        <w:spacing w:after="0" w:line="240" w:lineRule="auto"/>
      </w:pPr>
      <w:r>
        <w:separator/>
      </w:r>
    </w:p>
  </w:footnote>
  <w:footnote w:type="continuationSeparator" w:id="0">
    <w:p w:rsidR="009C031B" w:rsidRDefault="009C031B" w:rsidP="007A730D">
      <w:pPr>
        <w:spacing w:after="0" w:line="240" w:lineRule="auto"/>
      </w:pPr>
      <w:r>
        <w:continuationSeparator/>
      </w:r>
    </w:p>
  </w:footnote>
  <w:footnote w:id="1">
    <w:p w:rsidR="007A730D" w:rsidRPr="00336CA3" w:rsidRDefault="007A730D" w:rsidP="007A730D">
      <w:pPr>
        <w:pStyle w:val="FootnoteText"/>
        <w:jc w:val="both"/>
      </w:pPr>
      <w:r w:rsidRPr="00336CA3">
        <w:rPr>
          <w:rStyle w:val="FootnoteReference"/>
        </w:rPr>
        <w:footnoteRef/>
      </w:r>
      <w:r w:rsidRPr="00336CA3">
        <w:t xml:space="preserve"> Các Nghị quyết: số 3/NQ-HĐND ngày 12/4/2022; số 18/NQ-HĐND ngày 18/7/2023</w:t>
      </w:r>
    </w:p>
  </w:footnote>
  <w:footnote w:id="2">
    <w:p w:rsidR="007A730D" w:rsidRPr="00336CA3" w:rsidRDefault="007A730D" w:rsidP="007A730D">
      <w:pPr>
        <w:pStyle w:val="FootnoteText"/>
        <w:jc w:val="both"/>
      </w:pPr>
      <w:r w:rsidRPr="00336CA3">
        <w:rPr>
          <w:rStyle w:val="FootnoteReference"/>
        </w:rPr>
        <w:footnoteRef/>
      </w:r>
      <w:r w:rsidRPr="00336CA3">
        <w:t xml:space="preserve"> Các Nghị quyết: số 22/NQ-HĐND ngày 18/7/2023 về nhiệm vụ quy hoạch chung đô thị mới huyện Thuỷ Nguyên; số 21/NQ-HĐND ngày 18/7/2023 về nhiệm vụ điều chỉnh quy hoạch chung xây dựng khu kinh tế Đình Vũ – Cát Hải</w:t>
      </w:r>
    </w:p>
  </w:footnote>
  <w:footnote w:id="3">
    <w:p w:rsidR="007A730D" w:rsidRPr="00336CA3" w:rsidRDefault="007A730D" w:rsidP="007A730D">
      <w:pPr>
        <w:pStyle w:val="FootnoteText"/>
        <w:jc w:val="both"/>
      </w:pPr>
      <w:r w:rsidRPr="00336CA3">
        <w:rPr>
          <w:rStyle w:val="FootnoteReference"/>
        </w:rPr>
        <w:footnoteRef/>
      </w:r>
      <w:r w:rsidRPr="00336CA3">
        <w:t xml:space="preserve"> Hội đồng nhân dân thành phố đã ban hành các Nghị quyết về sử dụng nguồn thưởng vượt dự toán thu phân chia giữa ngân sách trung ương và ngân sách địa phương năm 2021, 2022.</w:t>
      </w:r>
    </w:p>
  </w:footnote>
  <w:footnote w:id="4">
    <w:p w:rsidR="007A730D" w:rsidRPr="00336CA3" w:rsidRDefault="007A730D" w:rsidP="007A730D">
      <w:pPr>
        <w:pStyle w:val="FootnoteText"/>
        <w:jc w:val="both"/>
      </w:pPr>
      <w:r w:rsidRPr="00336CA3">
        <w:rPr>
          <w:rStyle w:val="FootnoteReference"/>
        </w:rPr>
        <w:footnoteRef/>
      </w:r>
      <w:r w:rsidRPr="00336CA3">
        <w:t xml:space="preserve"> Các Nghị quyết: số 14/2021/NQ-HĐND ngày 10/12/2021; số 02/2023/NQ-HĐND ngày 18/7/2023.</w:t>
      </w:r>
    </w:p>
  </w:footnote>
  <w:footnote w:id="5">
    <w:p w:rsidR="007A730D" w:rsidRPr="00336CA3" w:rsidRDefault="007A730D" w:rsidP="007A730D">
      <w:pPr>
        <w:pStyle w:val="FootnoteText"/>
        <w:jc w:val="both"/>
      </w:pPr>
      <w:r w:rsidRPr="00336CA3">
        <w:rPr>
          <w:rStyle w:val="FootnoteReference"/>
        </w:rPr>
        <w:footnoteRef/>
      </w:r>
      <w:r w:rsidRPr="00336CA3">
        <w:t xml:space="preserve"> Các Nghị quyết: số 31/NQ-HĐND ngày 20/7/2022; số 43/NQ-HĐND ngày 29/8/2022; số 81/NQ-HĐND ngày 09/12/2022; số 25/NQ-HĐND ngày 18/7/2023; số 48/NQ-HĐND ngày 08/12/2023.</w:t>
      </w:r>
    </w:p>
  </w:footnote>
  <w:footnote w:id="6">
    <w:p w:rsidR="007A730D" w:rsidRPr="00336CA3" w:rsidRDefault="007A730D" w:rsidP="007A730D">
      <w:pPr>
        <w:pStyle w:val="FootnoteText"/>
        <w:jc w:val="both"/>
      </w:pPr>
      <w:r w:rsidRPr="00336CA3">
        <w:rPr>
          <w:rStyle w:val="FootnoteReference"/>
        </w:rPr>
        <w:footnoteRef/>
      </w:r>
      <w:r w:rsidRPr="00336CA3">
        <w:t xml:space="preserve"> Hội đồng nhân dân thành phố đã ban hành 02 Nghị quyết về thu nhập bình quân tăng thêm theo Nghị quyết số 35/2021/QH15: số 05/2022/NQ-HĐND ngày 20/7/2022; số 01/2023/NQ-HĐND ngày 18/4/2023.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30D"/>
    <w:rsid w:val="001345F3"/>
    <w:rsid w:val="007A730D"/>
    <w:rsid w:val="009C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3E900-3307-4D6B-9E00-7B6B60FD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30D"/>
    <w:pPr>
      <w:spacing w:after="200" w:line="276" w:lineRule="auto"/>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text,Footnote,ftref,BearingPoint,16 Point,Superscript 6 Point,fr,Footnote Text1,Footnote Text Char Char Char Char Char Char Ch Char Char Char Char Char Char C,f,Ref,de nota al pie,Footnote + Arial,10 pt,Black,Footnote Text11"/>
    <w:link w:val="ftrefCharCharChar1Char"/>
    <w:uiPriority w:val="99"/>
    <w:unhideWhenUsed/>
    <w:qFormat/>
    <w:rsid w:val="007A730D"/>
    <w:rPr>
      <w:vertAlign w:val="superscript"/>
    </w:rPr>
  </w:style>
  <w:style w:type="paragraph" w:styleId="FootnoteText">
    <w:name w:val="footnote text"/>
    <w:aliases w:val="Char9 Char,Char9 Char Char,Footnote Text Char Char Char Char Char,Footnote Text Char Char Char Char Char Char Ch Char Char Char,Footnote Text Char Char Char Char Char Char Ch Char Char,fn,Footnote Text Char Char Char Char Char Char Ch,ft,C"/>
    <w:basedOn w:val="Normal"/>
    <w:link w:val="FootnoteTextChar"/>
    <w:unhideWhenUsed/>
    <w:qFormat/>
    <w:rsid w:val="007A730D"/>
    <w:pPr>
      <w:spacing w:after="0" w:line="240" w:lineRule="auto"/>
    </w:pPr>
    <w:rPr>
      <w:rFonts w:ascii="Times New Roman" w:eastAsia="Times New Roman" w:hAnsi="Times New Roman"/>
      <w:sz w:val="20"/>
      <w:szCs w:val="20"/>
      <w:lang w:val="en-US"/>
    </w:rPr>
  </w:style>
  <w:style w:type="character" w:customStyle="1" w:styleId="FootnoteTextChar">
    <w:name w:val="Footnote Text Char"/>
    <w:aliases w:val="Char9 Char Char1,Char9 Char Char Char,Footnote Text Char Char Char Char Char Char,Footnote Text Char Char Char Char Char Char Ch Char Char Char Char,Footnote Text Char Char Char Char Char Char Ch Char Char Char1,fn Char,ft Char,C Char"/>
    <w:basedOn w:val="DefaultParagraphFont"/>
    <w:link w:val="FootnoteText"/>
    <w:qFormat/>
    <w:rsid w:val="007A730D"/>
    <w:rPr>
      <w:rFonts w:ascii="Times New Roman" w:eastAsia="Times New Roman" w:hAnsi="Times New Roman" w:cs="Times New Roman"/>
      <w:sz w:val="20"/>
      <w:szCs w:val="20"/>
    </w:rPr>
  </w:style>
  <w:style w:type="paragraph" w:styleId="NormalWeb">
    <w:name w:val="Normal (Web)"/>
    <w:aliases w:val="Normal (Web) Char Char Char Char Char, Char Char Char,Char Char Char,Обычный (веб)1,Обычный (веб) Знак,Обычный (веб) Знак1,Обычный (веб) Знак Знак,Char Char Char Char Char Char Char Char Char Char Char,webb,Char Char25,Char Char"/>
    <w:basedOn w:val="Normal"/>
    <w:link w:val="NormalWebChar"/>
    <w:uiPriority w:val="99"/>
    <w:unhideWhenUsed/>
    <w:qFormat/>
    <w:rsid w:val="007A730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aliases w:val="Normal (Web) Char Char Char Char Char Char, Char Char Char Char,Char Char Char Char,Обычный (веб)1 Char,Обычный (веб) Знак Char,Обычный (веб) Знак1 Char,Обычный (веб) Знак Знак Char,webb Char,Char Char25 Char,Char Char Char1"/>
    <w:link w:val="NormalWeb"/>
    <w:uiPriority w:val="99"/>
    <w:qFormat/>
    <w:locked/>
    <w:rsid w:val="007A730D"/>
    <w:rPr>
      <w:rFonts w:ascii="Times New Roman" w:eastAsia="Times New Roman" w:hAnsi="Times New Roman" w:cs="Times New Roman"/>
      <w:sz w:val="24"/>
      <w:szCs w:val="24"/>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qFormat/>
    <w:rsid w:val="007A730D"/>
    <w:pPr>
      <w:spacing w:after="160" w:line="240" w:lineRule="exact"/>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DCB8F-B9B1-471A-AEDB-E8D45F9A44FB}"/>
</file>

<file path=customXml/itemProps2.xml><?xml version="1.0" encoding="utf-8"?>
<ds:datastoreItem xmlns:ds="http://schemas.openxmlformats.org/officeDocument/2006/customXml" ds:itemID="{856978E1-F6D1-4F02-A112-A121F8F2F02E}"/>
</file>

<file path=customXml/itemProps3.xml><?xml version="1.0" encoding="utf-8"?>
<ds:datastoreItem xmlns:ds="http://schemas.openxmlformats.org/officeDocument/2006/customXml" ds:itemID="{446EB995-9574-4A00-8419-078827337156}"/>
</file>

<file path=docProps/app.xml><?xml version="1.0" encoding="utf-8"?>
<Properties xmlns="http://schemas.openxmlformats.org/officeDocument/2006/extended-properties" xmlns:vt="http://schemas.openxmlformats.org/officeDocument/2006/docPropsVTypes">
  <Template>Normal</Template>
  <TotalTime>0</TotalTime>
  <Pages>7</Pages>
  <Words>2434</Words>
  <Characters>13875</Characters>
  <Application>Microsoft Office Word</Application>
  <DocSecurity>0</DocSecurity>
  <Lines>115</Lines>
  <Paragraphs>32</Paragraphs>
  <ScaleCrop>false</ScaleCrop>
  <Company/>
  <LinksUpToDate>false</LinksUpToDate>
  <CharactersWithSpaces>16277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2024-03-25T00:25:00Z</dcterms:created>
  <dcterms:modified xsi:type="dcterms:W3CDTF">2024-03-25T00:25:00Z</dcterms:modified>
</cp:coreProperties>
</file>